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F7" w:rsidRPr="006E2CF7" w:rsidRDefault="006E2CF7" w:rsidP="006E2CF7">
      <w:pPr>
        <w:spacing w:after="0" w:line="240" w:lineRule="auto"/>
        <w:textAlignment w:val="baseline"/>
        <w:outlineLvl w:val="1"/>
        <w:rPr>
          <w:rFonts w:ascii="Arial" w:eastAsia="Times New Roman" w:hAnsi="Arial" w:cs="Arial"/>
          <w:color w:val="3D5175"/>
          <w:sz w:val="27"/>
          <w:szCs w:val="27"/>
        </w:rPr>
      </w:pPr>
      <w:r w:rsidRPr="006E2CF7">
        <w:rPr>
          <w:rFonts w:ascii="Arial" w:eastAsia="Times New Roman" w:hAnsi="Arial" w:cs="Arial"/>
          <w:color w:val="3D5175"/>
          <w:sz w:val="27"/>
          <w:szCs w:val="27"/>
        </w:rPr>
        <w:t>Area Economico Finanziaria</w:t>
      </w:r>
    </w:p>
    <w:p w:rsidR="006E2CF7" w:rsidRPr="006E2CF7" w:rsidRDefault="006E2CF7" w:rsidP="006E2CF7">
      <w:pPr>
        <w:spacing w:before="210" w:after="210" w:line="240" w:lineRule="auto"/>
        <w:textAlignment w:val="baseline"/>
        <w:outlineLvl w:val="1"/>
        <w:rPr>
          <w:rFonts w:ascii="Arial" w:eastAsia="Times New Roman" w:hAnsi="Arial" w:cs="Arial"/>
          <w:color w:val="3D5175"/>
          <w:sz w:val="23"/>
          <w:szCs w:val="23"/>
        </w:rPr>
      </w:pPr>
      <w:r w:rsidRPr="006E2CF7">
        <w:rPr>
          <w:rFonts w:ascii="Arial" w:eastAsia="Times New Roman" w:hAnsi="Arial" w:cs="Arial"/>
          <w:color w:val="3D5175"/>
          <w:sz w:val="23"/>
          <w:szCs w:val="23"/>
        </w:rPr>
        <w:t xml:space="preserve">Rag. Giuseppe </w:t>
      </w:r>
      <w:proofErr w:type="spellStart"/>
      <w:r w:rsidRPr="006E2CF7">
        <w:rPr>
          <w:rFonts w:ascii="Arial" w:eastAsia="Times New Roman" w:hAnsi="Arial" w:cs="Arial"/>
          <w:color w:val="3D5175"/>
          <w:sz w:val="23"/>
          <w:szCs w:val="23"/>
        </w:rPr>
        <w:t>Sirigu</w:t>
      </w:r>
      <w:proofErr w:type="spellEnd"/>
    </w:p>
    <w:p w:rsidR="006E2CF7" w:rsidRPr="006E2CF7" w:rsidRDefault="006E2CF7" w:rsidP="006E2CF7">
      <w:pPr>
        <w:spacing w:before="210" w:after="21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Funzionario Direttivo Area Economico Finanziaria</w:t>
      </w:r>
    </w:p>
    <w:p w:rsidR="006E2CF7" w:rsidRPr="006E2CF7" w:rsidRDefault="006E2CF7" w:rsidP="006E2CF7">
      <w:pPr>
        <w:numPr>
          <w:ilvl w:val="0"/>
          <w:numId w:val="1"/>
        </w:numPr>
        <w:spacing w:after="0" w:line="253" w:lineRule="atLeast"/>
        <w:ind w:left="0"/>
        <w:textAlignment w:val="baseline"/>
        <w:rPr>
          <w:rFonts w:ascii="Helvetica" w:eastAsia="Times New Roman" w:hAnsi="Helvetica" w:cs="Helvetica"/>
          <w:color w:val="555555"/>
          <w:sz w:val="20"/>
          <w:szCs w:val="20"/>
        </w:rPr>
      </w:pPr>
      <w:r w:rsidRPr="006E2CF7">
        <w:rPr>
          <w:rFonts w:ascii="Helvetica" w:eastAsia="Times New Roman" w:hAnsi="Helvetica" w:cs="Helvetica"/>
          <w:i/>
          <w:iCs/>
          <w:color w:val="555555"/>
          <w:sz w:val="20"/>
        </w:rPr>
        <w:t>Telefono: 070 985828 - fax: 070 985785</w:t>
      </w:r>
    </w:p>
    <w:p w:rsidR="006E2CF7" w:rsidRPr="006E2CF7" w:rsidRDefault="006E2CF7" w:rsidP="006E2CF7">
      <w:pPr>
        <w:numPr>
          <w:ilvl w:val="0"/>
          <w:numId w:val="1"/>
        </w:numPr>
        <w:spacing w:after="0" w:line="253" w:lineRule="atLeast"/>
        <w:ind w:left="0"/>
        <w:textAlignment w:val="baseline"/>
        <w:rPr>
          <w:rFonts w:ascii="Helvetica" w:eastAsia="Times New Roman" w:hAnsi="Helvetica" w:cs="Helvetica"/>
          <w:color w:val="555555"/>
          <w:sz w:val="20"/>
          <w:szCs w:val="20"/>
        </w:rPr>
      </w:pPr>
      <w:hyperlink r:id="rId5" w:history="1">
        <w:r w:rsidRPr="006E2CF7">
          <w:rPr>
            <w:rFonts w:ascii="Helvetica" w:eastAsia="Times New Roman" w:hAnsi="Helvetica" w:cs="Helvetica"/>
            <w:color w:val="3D5175"/>
            <w:sz w:val="20"/>
          </w:rPr>
          <w:t>selegas.ragioneria@tiscali.it</w:t>
        </w:r>
      </w:hyperlink>
    </w:p>
    <w:p w:rsidR="006E2CF7" w:rsidRPr="006E2CF7" w:rsidRDefault="006E2CF7" w:rsidP="006E2CF7">
      <w:pPr>
        <w:spacing w:before="210" w:after="210" w:line="240" w:lineRule="auto"/>
        <w:textAlignment w:val="baseline"/>
        <w:outlineLvl w:val="1"/>
        <w:rPr>
          <w:rFonts w:ascii="Arial" w:eastAsia="Times New Roman" w:hAnsi="Arial" w:cs="Arial"/>
          <w:color w:val="3D5175"/>
          <w:sz w:val="23"/>
          <w:szCs w:val="23"/>
        </w:rPr>
      </w:pPr>
      <w:r w:rsidRPr="006E2CF7">
        <w:rPr>
          <w:rFonts w:ascii="Arial" w:eastAsia="Times New Roman" w:hAnsi="Arial" w:cs="Arial"/>
          <w:color w:val="3D5175"/>
          <w:sz w:val="23"/>
          <w:szCs w:val="23"/>
        </w:rPr>
        <w:t>Fanno parte di quest'area:</w:t>
      </w:r>
    </w:p>
    <w:p w:rsidR="006E2CF7" w:rsidRPr="006E2CF7" w:rsidRDefault="006E2CF7" w:rsidP="006E2CF7">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Ufficio economato</w:t>
      </w:r>
    </w:p>
    <w:p w:rsidR="006E2CF7" w:rsidRPr="006E2CF7" w:rsidRDefault="006E2CF7" w:rsidP="006E2CF7">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Ufficio mandati</w:t>
      </w:r>
    </w:p>
    <w:p w:rsidR="006E2CF7" w:rsidRPr="006E2CF7" w:rsidRDefault="006E2CF7" w:rsidP="006E2CF7">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Ufficio personale</w:t>
      </w:r>
    </w:p>
    <w:p w:rsidR="006E2CF7" w:rsidRPr="006E2CF7" w:rsidRDefault="006E2CF7" w:rsidP="006E2CF7">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Ufficio ragioneria</w:t>
      </w:r>
    </w:p>
    <w:p w:rsidR="006E2CF7" w:rsidRPr="006E2CF7" w:rsidRDefault="006E2CF7" w:rsidP="006E2CF7">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Ufficio tributi</w:t>
      </w:r>
    </w:p>
    <w:p w:rsidR="006E2CF7" w:rsidRPr="006E2CF7" w:rsidRDefault="006E2CF7" w:rsidP="006E2CF7">
      <w:pPr>
        <w:spacing w:before="210" w:after="210" w:line="240" w:lineRule="auto"/>
        <w:textAlignment w:val="baseline"/>
        <w:outlineLvl w:val="1"/>
        <w:rPr>
          <w:rFonts w:ascii="Arial" w:eastAsia="Times New Roman" w:hAnsi="Arial" w:cs="Arial"/>
          <w:color w:val="3D5175"/>
          <w:sz w:val="23"/>
          <w:szCs w:val="23"/>
        </w:rPr>
      </w:pPr>
      <w:r w:rsidRPr="006E2CF7">
        <w:rPr>
          <w:rFonts w:ascii="Arial" w:eastAsia="Times New Roman" w:hAnsi="Arial" w:cs="Arial"/>
          <w:color w:val="3D5175"/>
          <w:sz w:val="23"/>
          <w:szCs w:val="23"/>
        </w:rPr>
        <w:t>Orario di apertura al pubblico</w:t>
      </w:r>
    </w:p>
    <w:tbl>
      <w:tblPr>
        <w:tblW w:w="736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987"/>
        <w:gridCol w:w="2688"/>
        <w:gridCol w:w="2690"/>
      </w:tblGrid>
      <w:tr w:rsidR="006E2CF7" w:rsidRPr="006E2CF7" w:rsidTr="006E2CF7">
        <w:tc>
          <w:tcPr>
            <w:tcW w:w="0" w:type="auto"/>
            <w:tcBorders>
              <w:top w:val="single" w:sz="6" w:space="0" w:color="6799DE"/>
              <w:left w:val="single" w:sz="6" w:space="0" w:color="6799DE"/>
              <w:bottom w:val="single" w:sz="6" w:space="0" w:color="6799DE"/>
              <w:right w:val="single" w:sz="6" w:space="0" w:color="6799DE"/>
            </w:tcBorders>
            <w:shd w:val="clear" w:color="auto" w:fill="013490"/>
            <w:tcMar>
              <w:top w:w="120" w:type="dxa"/>
              <w:left w:w="120" w:type="dxa"/>
              <w:bottom w:w="120" w:type="dxa"/>
              <w:right w:w="120" w:type="dxa"/>
            </w:tcMar>
            <w:hideMark/>
          </w:tcPr>
          <w:p w:rsidR="006E2CF7" w:rsidRPr="006E2CF7" w:rsidRDefault="006E2CF7" w:rsidP="006E2CF7">
            <w:pPr>
              <w:spacing w:after="0" w:line="187" w:lineRule="atLeast"/>
              <w:jc w:val="center"/>
              <w:rPr>
                <w:rFonts w:ascii="Verdana" w:eastAsia="Times New Roman" w:hAnsi="Verdana" w:cs="Times New Roman"/>
                <w:b/>
                <w:bCs/>
                <w:color w:val="FFFFFF"/>
                <w:sz w:val="15"/>
                <w:szCs w:val="15"/>
              </w:rPr>
            </w:pPr>
            <w:r w:rsidRPr="006E2CF7">
              <w:rPr>
                <w:rFonts w:ascii="Verdana" w:eastAsia="Times New Roman" w:hAnsi="Verdana" w:cs="Times New Roman"/>
                <w:b/>
                <w:bCs/>
                <w:color w:val="FFFFFF"/>
                <w:sz w:val="15"/>
                <w:szCs w:val="15"/>
              </w:rPr>
              <w:t>Giorno</w:t>
            </w:r>
          </w:p>
        </w:tc>
        <w:tc>
          <w:tcPr>
            <w:tcW w:w="0" w:type="auto"/>
            <w:tcBorders>
              <w:top w:val="single" w:sz="6" w:space="0" w:color="6799DE"/>
              <w:left w:val="single" w:sz="6" w:space="0" w:color="6799DE"/>
              <w:bottom w:val="single" w:sz="6" w:space="0" w:color="6799DE"/>
              <w:right w:val="single" w:sz="6" w:space="0" w:color="6799DE"/>
            </w:tcBorders>
            <w:shd w:val="clear" w:color="auto" w:fill="013490"/>
            <w:tcMar>
              <w:top w:w="120" w:type="dxa"/>
              <w:left w:w="120" w:type="dxa"/>
              <w:bottom w:w="120" w:type="dxa"/>
              <w:right w:w="120" w:type="dxa"/>
            </w:tcMar>
            <w:hideMark/>
          </w:tcPr>
          <w:p w:rsidR="006E2CF7" w:rsidRPr="006E2CF7" w:rsidRDefault="006E2CF7" w:rsidP="006E2CF7">
            <w:pPr>
              <w:spacing w:after="0" w:line="187" w:lineRule="atLeast"/>
              <w:jc w:val="center"/>
              <w:rPr>
                <w:rFonts w:ascii="Verdana" w:eastAsia="Times New Roman" w:hAnsi="Verdana" w:cs="Times New Roman"/>
                <w:b/>
                <w:bCs/>
                <w:color w:val="FFFFFF"/>
                <w:sz w:val="15"/>
                <w:szCs w:val="15"/>
              </w:rPr>
            </w:pPr>
            <w:r w:rsidRPr="006E2CF7">
              <w:rPr>
                <w:rFonts w:ascii="Verdana" w:eastAsia="Times New Roman" w:hAnsi="Verdana" w:cs="Times New Roman"/>
                <w:b/>
                <w:bCs/>
                <w:color w:val="FFFFFF"/>
                <w:sz w:val="15"/>
                <w:szCs w:val="15"/>
              </w:rPr>
              <w:t>mattino</w:t>
            </w:r>
          </w:p>
        </w:tc>
        <w:tc>
          <w:tcPr>
            <w:tcW w:w="0" w:type="auto"/>
            <w:tcBorders>
              <w:top w:val="single" w:sz="6" w:space="0" w:color="6799DE"/>
              <w:left w:val="single" w:sz="6" w:space="0" w:color="6799DE"/>
              <w:bottom w:val="single" w:sz="6" w:space="0" w:color="6799DE"/>
              <w:right w:val="single" w:sz="6" w:space="0" w:color="6799DE"/>
            </w:tcBorders>
            <w:shd w:val="clear" w:color="auto" w:fill="013490"/>
            <w:tcMar>
              <w:top w:w="120" w:type="dxa"/>
              <w:left w:w="120" w:type="dxa"/>
              <w:bottom w:w="120" w:type="dxa"/>
              <w:right w:w="120" w:type="dxa"/>
            </w:tcMar>
            <w:hideMark/>
          </w:tcPr>
          <w:p w:rsidR="006E2CF7" w:rsidRPr="006E2CF7" w:rsidRDefault="006E2CF7" w:rsidP="006E2CF7">
            <w:pPr>
              <w:spacing w:after="0" w:line="187" w:lineRule="atLeast"/>
              <w:jc w:val="center"/>
              <w:rPr>
                <w:rFonts w:ascii="Verdana" w:eastAsia="Times New Roman" w:hAnsi="Verdana" w:cs="Times New Roman"/>
                <w:b/>
                <w:bCs/>
                <w:color w:val="FFFFFF"/>
                <w:sz w:val="15"/>
                <w:szCs w:val="15"/>
              </w:rPr>
            </w:pPr>
            <w:r w:rsidRPr="006E2CF7">
              <w:rPr>
                <w:rFonts w:ascii="Verdana" w:eastAsia="Times New Roman" w:hAnsi="Verdana" w:cs="Times New Roman"/>
                <w:b/>
                <w:bCs/>
                <w:color w:val="FFFFFF"/>
                <w:sz w:val="15"/>
                <w:szCs w:val="15"/>
              </w:rPr>
              <w:t>pomeriggio</w:t>
            </w:r>
          </w:p>
        </w:tc>
      </w:tr>
      <w:tr w:rsidR="006E2CF7" w:rsidRPr="006E2CF7" w:rsidTr="006E2CF7">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lunedì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11.00 - 13.00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15.00 - 18.00</w:t>
            </w:r>
          </w:p>
        </w:tc>
      </w:tr>
      <w:tr w:rsidR="006E2CF7" w:rsidRPr="006E2CF7" w:rsidTr="006E2CF7">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martedì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11.00 - 13.00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chiuso</w:t>
            </w:r>
          </w:p>
        </w:tc>
      </w:tr>
      <w:tr w:rsidR="006E2CF7" w:rsidRPr="006E2CF7" w:rsidTr="006E2CF7">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mercoledì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11.00 - 13.00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15.00 - 18.00</w:t>
            </w:r>
          </w:p>
        </w:tc>
      </w:tr>
      <w:tr w:rsidR="006E2CF7" w:rsidRPr="006E2CF7" w:rsidTr="006E2CF7">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giovedì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11.00 - 13.00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chiuso</w:t>
            </w:r>
          </w:p>
        </w:tc>
      </w:tr>
      <w:tr w:rsidR="006E2CF7" w:rsidRPr="006E2CF7" w:rsidTr="006E2CF7">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venerdì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11.00 - 13.00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6E2CF7" w:rsidRPr="006E2CF7" w:rsidRDefault="006E2CF7" w:rsidP="006E2CF7">
            <w:pPr>
              <w:spacing w:after="0" w:line="187" w:lineRule="atLeast"/>
              <w:rPr>
                <w:rFonts w:ascii="Verdana" w:eastAsia="Times New Roman" w:hAnsi="Verdana" w:cs="Times New Roman"/>
                <w:color w:val="000000"/>
                <w:sz w:val="15"/>
                <w:szCs w:val="15"/>
              </w:rPr>
            </w:pPr>
            <w:r w:rsidRPr="006E2CF7">
              <w:rPr>
                <w:rFonts w:ascii="Verdana" w:eastAsia="Times New Roman" w:hAnsi="Verdana" w:cs="Times New Roman"/>
                <w:color w:val="000000"/>
                <w:sz w:val="15"/>
                <w:szCs w:val="15"/>
              </w:rPr>
              <w:t>chiuso</w:t>
            </w:r>
          </w:p>
        </w:tc>
      </w:tr>
    </w:tbl>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b/>
          <w:bCs/>
          <w:color w:val="555555"/>
          <w:sz w:val="20"/>
        </w:rPr>
        <w:t>Informazioni utili</w:t>
      </w:r>
    </w:p>
    <w:p w:rsidR="006E2CF7" w:rsidRPr="006E2CF7" w:rsidRDefault="006E2CF7" w:rsidP="006E2CF7">
      <w:pPr>
        <w:spacing w:after="150" w:line="253" w:lineRule="atLeast"/>
        <w:jc w:val="both"/>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 xml:space="preserve">Il Servizio di Tesoreria comunale è affidato mediante convenzione al Banco di Sardegna </w:t>
      </w:r>
      <w:proofErr w:type="spellStart"/>
      <w:r w:rsidRPr="006E2CF7">
        <w:rPr>
          <w:rFonts w:ascii="Helvetica" w:eastAsia="Times New Roman" w:hAnsi="Helvetica" w:cs="Helvetica"/>
          <w:color w:val="555555"/>
          <w:sz w:val="20"/>
          <w:szCs w:val="20"/>
        </w:rPr>
        <w:t>S.p.a.</w:t>
      </w:r>
      <w:proofErr w:type="spellEnd"/>
    </w:p>
    <w:p w:rsidR="006E2CF7" w:rsidRPr="006E2CF7" w:rsidRDefault="006E2CF7" w:rsidP="006E2CF7">
      <w:pPr>
        <w:spacing w:after="150" w:line="253" w:lineRule="atLeast"/>
        <w:jc w:val="both"/>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I versamenti in favore del Comune di SELEGAS possono essere effettuati:</w:t>
      </w:r>
    </w:p>
    <w:p w:rsidR="006E2CF7" w:rsidRPr="006E2CF7" w:rsidRDefault="006E2CF7" w:rsidP="006E2CF7">
      <w:pPr>
        <w:numPr>
          <w:ilvl w:val="0"/>
          <w:numId w:val="3"/>
        </w:numPr>
        <w:spacing w:after="0" w:line="253" w:lineRule="atLeast"/>
        <w:jc w:val="both"/>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con accredito sul conto corrente postale di Tesoreria n. 16420093 intestato a: </w:t>
      </w:r>
    </w:p>
    <w:p w:rsidR="006E2CF7" w:rsidRPr="006E2CF7" w:rsidRDefault="006E2CF7" w:rsidP="006E2CF7">
      <w:pPr>
        <w:spacing w:after="0" w:line="253" w:lineRule="atLeast"/>
        <w:ind w:left="720"/>
        <w:jc w:val="both"/>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 xml:space="preserve">COMUNE </w:t>
      </w:r>
      <w:proofErr w:type="spellStart"/>
      <w:r w:rsidRPr="006E2CF7">
        <w:rPr>
          <w:rFonts w:ascii="Helvetica" w:eastAsia="Times New Roman" w:hAnsi="Helvetica" w:cs="Helvetica"/>
          <w:color w:val="555555"/>
          <w:sz w:val="20"/>
          <w:szCs w:val="20"/>
        </w:rPr>
        <w:t>DI</w:t>
      </w:r>
      <w:proofErr w:type="spellEnd"/>
      <w:r w:rsidRPr="006E2CF7">
        <w:rPr>
          <w:rFonts w:ascii="Helvetica" w:eastAsia="Times New Roman" w:hAnsi="Helvetica" w:cs="Helvetica"/>
          <w:color w:val="555555"/>
          <w:sz w:val="20"/>
          <w:szCs w:val="20"/>
        </w:rPr>
        <w:t xml:space="preserve"> SELEGAS - SERVIZIO </w:t>
      </w:r>
      <w:proofErr w:type="spellStart"/>
      <w:r w:rsidRPr="006E2CF7">
        <w:rPr>
          <w:rFonts w:ascii="Helvetica" w:eastAsia="Times New Roman" w:hAnsi="Helvetica" w:cs="Helvetica"/>
          <w:color w:val="555555"/>
          <w:sz w:val="20"/>
          <w:szCs w:val="20"/>
        </w:rPr>
        <w:t>DI</w:t>
      </w:r>
      <w:proofErr w:type="spellEnd"/>
      <w:r w:rsidRPr="006E2CF7">
        <w:rPr>
          <w:rFonts w:ascii="Helvetica" w:eastAsia="Times New Roman" w:hAnsi="Helvetica" w:cs="Helvetica"/>
          <w:color w:val="555555"/>
          <w:sz w:val="20"/>
          <w:szCs w:val="20"/>
        </w:rPr>
        <w:t xml:space="preserve"> TESORERIA;</w:t>
      </w:r>
    </w:p>
    <w:p w:rsidR="006E2CF7" w:rsidRPr="006E2CF7" w:rsidRDefault="006E2CF7" w:rsidP="006E2CF7">
      <w:pPr>
        <w:spacing w:after="0" w:line="253" w:lineRule="atLeast"/>
        <w:ind w:left="720"/>
        <w:jc w:val="both"/>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w:t>
      </w:r>
    </w:p>
    <w:p w:rsidR="006E2CF7" w:rsidRPr="006E2CF7" w:rsidRDefault="006E2CF7" w:rsidP="006E2CF7">
      <w:pPr>
        <w:spacing w:after="0" w:line="253" w:lineRule="atLeast"/>
        <w:ind w:left="720"/>
        <w:jc w:val="both"/>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br/>
        <w:t>codice IBAN: </w:t>
      </w:r>
      <w:r w:rsidRPr="006E2CF7">
        <w:rPr>
          <w:rFonts w:ascii="Helvetica" w:eastAsia="Times New Roman" w:hAnsi="Helvetica" w:cs="Helvetica"/>
          <w:b/>
          <w:bCs/>
          <w:color w:val="555555"/>
          <w:sz w:val="20"/>
        </w:rPr>
        <w:t>IT _______________________________________</w:t>
      </w:r>
      <w:r w:rsidRPr="006E2CF7">
        <w:rPr>
          <w:rFonts w:ascii="Helvetica" w:eastAsia="Times New Roman" w:hAnsi="Helvetica" w:cs="Helvetica"/>
          <w:color w:val="555555"/>
          <w:sz w:val="20"/>
          <w:szCs w:val="20"/>
        </w:rPr>
        <w:t>;</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Il Comune provvede al pagamento delle somme dovute mediante l’emissione di mandati di pagamento. A tal fine il creditore deve indicare espressamente la modalità di pagamento prescelta tra:</w:t>
      </w:r>
    </w:p>
    <w:p w:rsidR="006E2CF7" w:rsidRPr="006E2CF7" w:rsidRDefault="006E2CF7" w:rsidP="006E2CF7">
      <w:pPr>
        <w:numPr>
          <w:ilvl w:val="0"/>
          <w:numId w:val="4"/>
        </w:numPr>
        <w:spacing w:after="0" w:line="253" w:lineRule="atLeast"/>
        <w:ind w:left="45"/>
        <w:jc w:val="both"/>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accredito sul conto corrente bancario o postale intestato al creditore, indicando con precisione, in entrambi i casi, il codice IBAN;</w:t>
      </w:r>
    </w:p>
    <w:p w:rsidR="006E2CF7" w:rsidRPr="006E2CF7" w:rsidRDefault="006E2CF7" w:rsidP="006E2CF7">
      <w:pPr>
        <w:numPr>
          <w:ilvl w:val="0"/>
          <w:numId w:val="4"/>
        </w:numPr>
        <w:spacing w:after="0" w:line="253" w:lineRule="atLeast"/>
        <w:ind w:left="45"/>
        <w:jc w:val="both"/>
        <w:textAlignment w:val="baseline"/>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 </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b/>
          <w:bCs/>
          <w:color w:val="555555"/>
          <w:sz w:val="20"/>
        </w:rPr>
        <w:t>Compiti dell’Ufficio Finanziario</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All’Ufficio Finanziario sono affidati il coordinamento e la gestione dell’attività finanziaria comunale.</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L’Ufficio predispone i documenti di bilancio annuale e pluriennale, la relazione previsionale e programmatica, il piano esecutivo di gestione e il conto consuntivo.</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Lavora in stretta collaborazione con gli altri servizi e settori dell’Ente, svolgendo compiti di coordinamento e consulenza in merito alla corretta imputazione delle spese in bilancio e alla sana gestione delle risorse finanziarie.</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Effettua il monitoraggio delle entrate e delle spese ai fini di una corretta ed economica gestione delle disponibilità finanziarie e del rispetto del patto di stabilità.</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Registra gli impegni di spesa e gli accertamenti d’entrata.</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lastRenderedPageBreak/>
        <w:t>Il Responsabile esprime parere di regolarità contabile sulle proposte di deliberazione sottoposte al Consiglio e alla Giunta che comportino nell’anno in corso o in quelli successivi aspetti finanziari e attesta la copertura finanziaria dei provvedimenti dei Servizi che comportino impegni di spesa.</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L’Ufficio gestisce le entrate e le spese mediante la registrazione delle fatture e l’emissione dei mandati di pagamento e delle reversali di incasso e verifica il permanere degli equilibri di bilancio.</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Cura i rapporti con il Revisore dei Conti e con la Tesoreria e l’aggiornamento del Regolamento di Contabilità.</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Predispone gli atti deliberativi di propria competenza, esprimendo sugli stessi pareri di regolarità tecnica e contabile, e le determinazioni inerenti lo svolgimento delle proprie funzioni.</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Il Servizio Economato si occupa della gestione di cassa delle spese di ufficio di non rilevante ammontare e svolge tutte le altre funzioni ad esso attribuite in base al vigente Regolamento Comunale.</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 </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Ufficio tributi</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 </w:t>
      </w:r>
      <w:r w:rsidRPr="006E2CF7">
        <w:rPr>
          <w:rFonts w:ascii="Helvetica" w:eastAsia="Times New Roman" w:hAnsi="Helvetica" w:cs="Helvetica"/>
          <w:b/>
          <w:bCs/>
          <w:color w:val="993366"/>
          <w:sz w:val="20"/>
        </w:rPr>
        <w:t>Tassa Smaltimento Rifiuti</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Entro il 20 gennaio successivo all'inizio della occupazione di locali ed aree scoperte deve essere presentata denuncia unica dei locali ed aree tassabili ai fini della tassa smaltimento rifiuti. La denuncia ha effetto anche per gli anni successivi, qualora le condizioni di tassabilità siano rimaste invariate. In caso contrario l'utente è tenuto a denunciare, nelle medesime forme, ogni variazione relativa ai locali ed aree, alla loro superficie e destinazione che comporti un maggior ammontare della tassa o comunque influisca sull'applicazione e riscossione del tributo in relazione ai dati da indicare nella denuncia.</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I moduli di denuncia sono a disposizione dell'Ufficio Tributi.</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Denuncia per civile abitazione</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Denuncia di cessazione</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Denuncia di attività</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Riduzione ditte</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Variazione di superficie</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Riduzione singolo occupante</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Revoca riduzione singolo occupante</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Richiesta annullamento o riforma di accertamento</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Richiesta di sgravio/discarico</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Revoca riduzione per uso limitato o discontinuo</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   </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Tariffe TARSU anno 2010TARSU</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Regolamento comunale</w:t>
      </w:r>
    </w:p>
    <w:p w:rsidR="006E2CF7" w:rsidRPr="006E2CF7" w:rsidRDefault="006E2CF7" w:rsidP="006E2CF7">
      <w:pPr>
        <w:spacing w:after="150" w:line="253" w:lineRule="atLeast"/>
        <w:rPr>
          <w:rFonts w:ascii="Helvetica" w:eastAsia="Times New Roman" w:hAnsi="Helvetica" w:cs="Helvetica"/>
          <w:color w:val="555555"/>
          <w:sz w:val="20"/>
          <w:szCs w:val="20"/>
        </w:rPr>
      </w:pPr>
      <w:r w:rsidRPr="006E2CF7">
        <w:rPr>
          <w:rFonts w:ascii="Helvetica" w:eastAsia="Times New Roman" w:hAnsi="Helvetica" w:cs="Helvetica"/>
          <w:color w:val="555555"/>
          <w:sz w:val="20"/>
          <w:szCs w:val="20"/>
        </w:rPr>
        <w:t> </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b/>
          <w:bCs/>
          <w:color w:val="000000"/>
          <w:sz w:val="20"/>
        </w:rPr>
        <w:t>ICI - Imposta comunale sugli immobili</w:t>
      </w:r>
    </w:p>
    <w:p w:rsidR="006E2CF7" w:rsidRPr="006E2CF7" w:rsidRDefault="006E2CF7" w:rsidP="006E2CF7">
      <w:pPr>
        <w:spacing w:after="0" w:line="253" w:lineRule="atLeast"/>
        <w:rPr>
          <w:rFonts w:ascii="Helvetica" w:eastAsia="Times New Roman" w:hAnsi="Helvetica" w:cs="Helvetica"/>
          <w:color w:val="555555"/>
          <w:sz w:val="20"/>
          <w:szCs w:val="20"/>
        </w:rPr>
      </w:pPr>
      <w:r w:rsidRPr="006E2CF7">
        <w:rPr>
          <w:rFonts w:ascii="Verdana" w:eastAsia="Times New Roman" w:hAnsi="Verdana" w:cs="Helvetica"/>
          <w:color w:val="000000"/>
          <w:sz w:val="16"/>
          <w:szCs w:val="16"/>
          <w:bdr w:val="none" w:sz="0" w:space="0" w:color="auto" w:frame="1"/>
        </w:rPr>
        <w:t>Comunicazione per agevolazioni immobile in uso gratuito</w:t>
      </w:r>
      <w:r w:rsidRPr="006E2CF7">
        <w:rPr>
          <w:rFonts w:ascii="Verdana" w:eastAsia="Times New Roman" w:hAnsi="Verdana" w:cs="Helvetica"/>
          <w:color w:val="000000"/>
          <w:sz w:val="20"/>
          <w:szCs w:val="20"/>
          <w:bdr w:val="none" w:sz="0" w:space="0" w:color="auto" w:frame="1"/>
        </w:rPr>
        <w:br/>
      </w:r>
      <w:r w:rsidRPr="006E2CF7">
        <w:rPr>
          <w:rFonts w:ascii="Verdana" w:eastAsia="Times New Roman" w:hAnsi="Verdana" w:cs="Helvetica"/>
          <w:color w:val="000000"/>
          <w:sz w:val="16"/>
          <w:szCs w:val="16"/>
          <w:bdr w:val="none" w:sz="0" w:space="0" w:color="auto" w:frame="1"/>
        </w:rPr>
        <w:t>Comunicazione per agevolazioni immobile locato</w:t>
      </w:r>
      <w:r w:rsidRPr="006E2CF7">
        <w:rPr>
          <w:rFonts w:ascii="Verdana" w:eastAsia="Times New Roman" w:hAnsi="Verdana" w:cs="Helvetica"/>
          <w:color w:val="000000"/>
          <w:sz w:val="20"/>
          <w:szCs w:val="20"/>
          <w:bdr w:val="none" w:sz="0" w:space="0" w:color="auto" w:frame="1"/>
        </w:rPr>
        <w:br/>
      </w:r>
      <w:r w:rsidRPr="006E2CF7">
        <w:rPr>
          <w:rFonts w:ascii="Verdana" w:eastAsia="Times New Roman" w:hAnsi="Verdana" w:cs="Helvetica"/>
          <w:color w:val="000000"/>
          <w:sz w:val="16"/>
          <w:szCs w:val="16"/>
          <w:bdr w:val="none" w:sz="0" w:space="0" w:color="auto" w:frame="1"/>
        </w:rPr>
        <w:t>Comunicazione ravvedimento operoso</w:t>
      </w:r>
      <w:r w:rsidRPr="006E2CF7">
        <w:rPr>
          <w:rFonts w:ascii="Verdana" w:eastAsia="Times New Roman" w:hAnsi="Verdana" w:cs="Helvetica"/>
          <w:color w:val="000000"/>
          <w:sz w:val="20"/>
          <w:szCs w:val="20"/>
          <w:bdr w:val="none" w:sz="0" w:space="0" w:color="auto" w:frame="1"/>
        </w:rPr>
        <w:br/>
      </w:r>
      <w:r w:rsidRPr="006E2CF7">
        <w:rPr>
          <w:rFonts w:ascii="Verdana" w:eastAsia="Times New Roman" w:hAnsi="Verdana" w:cs="Helvetica"/>
          <w:color w:val="000000"/>
          <w:sz w:val="16"/>
          <w:szCs w:val="16"/>
          <w:bdr w:val="none" w:sz="0" w:space="0" w:color="auto" w:frame="1"/>
        </w:rPr>
        <w:t>Dichiarazione sostitutiva atto di notorietà requisiti fabbricati rurali</w:t>
      </w:r>
      <w:r w:rsidRPr="006E2CF7">
        <w:rPr>
          <w:rFonts w:ascii="Verdana" w:eastAsia="Times New Roman" w:hAnsi="Verdana" w:cs="Helvetica"/>
          <w:color w:val="000000"/>
          <w:sz w:val="20"/>
          <w:szCs w:val="20"/>
          <w:bdr w:val="none" w:sz="0" w:space="0" w:color="auto" w:frame="1"/>
        </w:rPr>
        <w:br/>
      </w:r>
      <w:r w:rsidRPr="006E2CF7">
        <w:rPr>
          <w:rFonts w:ascii="Verdana" w:eastAsia="Times New Roman" w:hAnsi="Verdana" w:cs="Helvetica"/>
          <w:color w:val="000000"/>
          <w:sz w:val="16"/>
          <w:szCs w:val="16"/>
          <w:bdr w:val="none" w:sz="0" w:space="0" w:color="auto" w:frame="1"/>
        </w:rPr>
        <w:t>Dichiarazione sostitutiva fabbricato inagibile/inabitabile</w:t>
      </w:r>
      <w:r w:rsidRPr="006E2CF7">
        <w:rPr>
          <w:rFonts w:ascii="Verdana" w:eastAsia="Times New Roman" w:hAnsi="Verdana" w:cs="Helvetica"/>
          <w:color w:val="000000"/>
          <w:sz w:val="20"/>
          <w:szCs w:val="20"/>
          <w:bdr w:val="none" w:sz="0" w:space="0" w:color="auto" w:frame="1"/>
        </w:rPr>
        <w:br/>
      </w:r>
      <w:r w:rsidRPr="006E2CF7">
        <w:rPr>
          <w:rFonts w:ascii="Verdana" w:eastAsia="Times New Roman" w:hAnsi="Verdana" w:cs="Helvetica"/>
          <w:color w:val="000000"/>
          <w:sz w:val="16"/>
          <w:szCs w:val="16"/>
          <w:bdr w:val="none" w:sz="0" w:space="0" w:color="auto" w:frame="1"/>
        </w:rPr>
        <w:t>Dichiarazione sostitutiva generica</w:t>
      </w:r>
      <w:r w:rsidRPr="006E2CF7">
        <w:rPr>
          <w:rFonts w:ascii="Verdana" w:eastAsia="Times New Roman" w:hAnsi="Verdana" w:cs="Helvetica"/>
          <w:color w:val="000000"/>
          <w:sz w:val="20"/>
          <w:szCs w:val="20"/>
          <w:bdr w:val="none" w:sz="0" w:space="0" w:color="auto" w:frame="1"/>
        </w:rPr>
        <w:br/>
      </w:r>
      <w:r w:rsidRPr="006E2CF7">
        <w:rPr>
          <w:rFonts w:ascii="Verdana" w:eastAsia="Times New Roman" w:hAnsi="Verdana" w:cs="Helvetica"/>
          <w:color w:val="000000"/>
          <w:sz w:val="16"/>
          <w:szCs w:val="16"/>
          <w:bdr w:val="none" w:sz="0" w:space="0" w:color="auto" w:frame="1"/>
        </w:rPr>
        <w:t xml:space="preserve">Istanza di rateizzazione avvisi di </w:t>
      </w:r>
      <w:proofErr w:type="spellStart"/>
      <w:r w:rsidRPr="006E2CF7">
        <w:rPr>
          <w:rFonts w:ascii="Verdana" w:eastAsia="Times New Roman" w:hAnsi="Verdana" w:cs="Helvetica"/>
          <w:color w:val="000000"/>
          <w:sz w:val="16"/>
          <w:szCs w:val="16"/>
          <w:bdr w:val="none" w:sz="0" w:space="0" w:color="auto" w:frame="1"/>
        </w:rPr>
        <w:t>accertamentoIstanxa</w:t>
      </w:r>
      <w:proofErr w:type="spellEnd"/>
      <w:r w:rsidRPr="006E2CF7">
        <w:rPr>
          <w:rFonts w:ascii="Verdana" w:eastAsia="Times New Roman" w:hAnsi="Verdana" w:cs="Helvetica"/>
          <w:color w:val="000000"/>
          <w:sz w:val="16"/>
          <w:szCs w:val="16"/>
          <w:bdr w:val="none" w:sz="0" w:space="0" w:color="auto" w:frame="1"/>
        </w:rPr>
        <w:t xml:space="preserve"> di rimborso</w:t>
      </w:r>
    </w:p>
    <w:p w:rsidR="00215108" w:rsidRDefault="00215108"/>
    <w:sectPr w:rsidR="002151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9A6"/>
    <w:multiLevelType w:val="multilevel"/>
    <w:tmpl w:val="39AE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205D1"/>
    <w:multiLevelType w:val="multilevel"/>
    <w:tmpl w:val="9426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24BA5"/>
    <w:multiLevelType w:val="multilevel"/>
    <w:tmpl w:val="5B9A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432F5"/>
    <w:multiLevelType w:val="multilevel"/>
    <w:tmpl w:val="23E6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E2CF7"/>
    <w:rsid w:val="00215108"/>
    <w:rsid w:val="006E2C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E2C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E2CF7"/>
    <w:rPr>
      <w:rFonts w:ascii="Times New Roman" w:eastAsia="Times New Roman" w:hAnsi="Times New Roman" w:cs="Times New Roman"/>
      <w:b/>
      <w:bCs/>
      <w:sz w:val="36"/>
      <w:szCs w:val="36"/>
    </w:rPr>
  </w:style>
  <w:style w:type="paragraph" w:styleId="NormaleWeb">
    <w:name w:val="Normal (Web)"/>
    <w:basedOn w:val="Normale"/>
    <w:uiPriority w:val="99"/>
    <w:semiHidden/>
    <w:unhideWhenUsed/>
    <w:rsid w:val="006E2CF7"/>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E2CF7"/>
    <w:rPr>
      <w:i/>
      <w:iCs/>
    </w:rPr>
  </w:style>
  <w:style w:type="character" w:styleId="Collegamentoipertestuale">
    <w:name w:val="Hyperlink"/>
    <w:basedOn w:val="Carpredefinitoparagrafo"/>
    <w:uiPriority w:val="99"/>
    <w:semiHidden/>
    <w:unhideWhenUsed/>
    <w:rsid w:val="006E2CF7"/>
    <w:rPr>
      <w:color w:val="0000FF"/>
      <w:u w:val="single"/>
    </w:rPr>
  </w:style>
  <w:style w:type="character" w:styleId="Enfasigrassetto">
    <w:name w:val="Strong"/>
    <w:basedOn w:val="Carpredefinitoparagrafo"/>
    <w:uiPriority w:val="22"/>
    <w:qFormat/>
    <w:rsid w:val="006E2CF7"/>
    <w:rPr>
      <w:b/>
      <w:bCs/>
    </w:rPr>
  </w:style>
</w:styles>
</file>

<file path=word/webSettings.xml><?xml version="1.0" encoding="utf-8"?>
<w:webSettings xmlns:r="http://schemas.openxmlformats.org/officeDocument/2006/relationships" xmlns:w="http://schemas.openxmlformats.org/wordprocessingml/2006/main">
  <w:divs>
    <w:div w:id="19977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egas.ragioneria@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3</cp:revision>
  <dcterms:created xsi:type="dcterms:W3CDTF">2015-05-13T14:49:00Z</dcterms:created>
  <dcterms:modified xsi:type="dcterms:W3CDTF">2015-05-13T14:49:00Z</dcterms:modified>
</cp:coreProperties>
</file>